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B5" w:rsidRPr="0090280D" w:rsidRDefault="000F07B5" w:rsidP="000F07B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Приложение</w:t>
      </w:r>
    </w:p>
    <w:p w:rsidR="000F07B5" w:rsidRPr="0090280D" w:rsidRDefault="000F07B5" w:rsidP="000F0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к решению</w:t>
      </w:r>
    </w:p>
    <w:p w:rsidR="000F07B5" w:rsidRPr="0090280D" w:rsidRDefault="000F07B5" w:rsidP="000F0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0280D">
        <w:rPr>
          <w:rFonts w:ascii="Times New Roman" w:hAnsi="Times New Roman" w:cs="Times New Roman"/>
          <w:sz w:val="28"/>
          <w:szCs w:val="28"/>
        </w:rPr>
        <w:t>Медногорского</w:t>
      </w:r>
      <w:proofErr w:type="spellEnd"/>
      <w:r w:rsidRPr="0090280D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0F07B5" w:rsidRPr="0090280D" w:rsidRDefault="000F07B5" w:rsidP="000F0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0F07B5" w:rsidRPr="0090280D" w:rsidRDefault="000F07B5" w:rsidP="000F0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0F07B5" w:rsidRPr="0090280D" w:rsidRDefault="000F07B5" w:rsidP="000F0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от 21 мая 2013 г. N 290</w:t>
      </w:r>
    </w:p>
    <w:p w:rsidR="000F07B5" w:rsidRPr="0090280D" w:rsidRDefault="000F07B5" w:rsidP="000F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07B5" w:rsidRPr="0090280D" w:rsidRDefault="000F07B5" w:rsidP="000F0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90280D">
        <w:rPr>
          <w:rFonts w:ascii="Times New Roman" w:hAnsi="Times New Roman" w:cs="Times New Roman"/>
          <w:sz w:val="28"/>
          <w:szCs w:val="28"/>
        </w:rPr>
        <w:t>Положение</w:t>
      </w:r>
    </w:p>
    <w:p w:rsidR="000F07B5" w:rsidRPr="0090280D" w:rsidRDefault="000F07B5" w:rsidP="000F0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о едином налоге на вмененный доход</w:t>
      </w:r>
    </w:p>
    <w:p w:rsidR="000F07B5" w:rsidRPr="0090280D" w:rsidRDefault="000F07B5" w:rsidP="000F0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для отдельных видов деятельности</w:t>
      </w:r>
    </w:p>
    <w:p w:rsidR="000F07B5" w:rsidRPr="0090280D" w:rsidRDefault="000F07B5" w:rsidP="000F0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7B5" w:rsidRPr="0090280D" w:rsidRDefault="000F07B5" w:rsidP="000F07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F07B5" w:rsidRPr="0090280D" w:rsidRDefault="000F07B5" w:rsidP="000F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Настоящее Положение устанавливает виды предпринимательской деятельности, в отношении которых может применяться система налогообложения в виде единого налога на вмененный доход для отдельных видов деятельности, и значение корректирующего коэффициента базовой доходности К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в соответствии с пунктом 3 статьи 346.26 части второй Налогового кодекса Российской Федерации.</w:t>
      </w:r>
    </w:p>
    <w:p w:rsidR="000F07B5" w:rsidRPr="0090280D" w:rsidRDefault="000F07B5" w:rsidP="000F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07B5" w:rsidRPr="0090280D" w:rsidRDefault="000F07B5" w:rsidP="000F07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II. Виды предпринимательской деятельности</w:t>
      </w:r>
    </w:p>
    <w:p w:rsidR="000F07B5" w:rsidRPr="0090280D" w:rsidRDefault="000F07B5" w:rsidP="000F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90280D">
        <w:rPr>
          <w:rFonts w:ascii="Times New Roman" w:hAnsi="Times New Roman" w:cs="Times New Roman"/>
          <w:sz w:val="28"/>
          <w:szCs w:val="28"/>
        </w:rPr>
        <w:t>1. Система налогообложения в виде единого налога на вмененный доход для отдельных видов деятельности может применяться в отношении следующих видов предпринимательской деятельности: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определенным Правительством Российской Федерации;</w:t>
      </w:r>
    </w:p>
    <w:p w:rsidR="000F07B5" w:rsidRPr="0090280D" w:rsidRDefault="000F07B5" w:rsidP="000F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0280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0280D">
        <w:rPr>
          <w:rFonts w:ascii="Times New Roman" w:hAnsi="Times New Roman" w:cs="Times New Roman"/>
          <w:sz w:val="28"/>
          <w:szCs w:val="28"/>
        </w:rPr>
        <w:t xml:space="preserve">. 1 в ред. Решения </w:t>
      </w:r>
      <w:proofErr w:type="spellStart"/>
      <w:r w:rsidRPr="0090280D">
        <w:rPr>
          <w:rFonts w:ascii="Times New Roman" w:hAnsi="Times New Roman" w:cs="Times New Roman"/>
          <w:sz w:val="28"/>
          <w:szCs w:val="28"/>
        </w:rPr>
        <w:t>Медногорского</w:t>
      </w:r>
      <w:proofErr w:type="spellEnd"/>
      <w:r w:rsidRPr="0090280D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Оренбургской области от 19.12.2016 N 176)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2) оказания ветеринарных услуг;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3) оказания услуг по ремонту, техническому обслуживанию и мойке автомототранспортных средств;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90280D">
        <w:rPr>
          <w:rFonts w:ascii="Times New Roman" w:hAnsi="Times New Roman" w:cs="Times New Roman"/>
          <w:sz w:val="28"/>
          <w:szCs w:val="28"/>
        </w:rPr>
        <w:t xml:space="preserve">6) розничной торговли, осуществляемой через магазины и павильоны с </w:t>
      </w:r>
      <w:r w:rsidRPr="0090280D">
        <w:rPr>
          <w:rFonts w:ascii="Times New Roman" w:hAnsi="Times New Roman" w:cs="Times New Roman"/>
          <w:sz w:val="28"/>
          <w:szCs w:val="28"/>
        </w:rPr>
        <w:lastRenderedPageBreak/>
        <w:t>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90280D">
        <w:rPr>
          <w:rFonts w:ascii="Times New Roman" w:hAnsi="Times New Roman" w:cs="Times New Roman"/>
          <w:sz w:val="28"/>
          <w:szCs w:val="28"/>
        </w:rPr>
        <w:t xml:space="preserve">8) оказания услуг общественного питания, осуществляемых через объекты организации общественного питания,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90280D">
        <w:rPr>
          <w:rFonts w:ascii="Times New Roman" w:hAnsi="Times New Roman" w:cs="Times New Roman"/>
          <w:sz w:val="28"/>
          <w:szCs w:val="28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10) распространения наружной рекламы с использованием рекламных конструкций;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11) размещения рекламы с использованием внешних и внутренних поверхностей транспортных средств;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6"/>
      <w:bookmarkEnd w:id="5"/>
      <w:r w:rsidRPr="0090280D">
        <w:rPr>
          <w:rFonts w:ascii="Times New Roman" w:hAnsi="Times New Roman" w:cs="Times New Roman"/>
          <w:sz w:val="28"/>
          <w:szCs w:val="28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7"/>
      <w:bookmarkEnd w:id="6"/>
      <w:r w:rsidRPr="0090280D">
        <w:rPr>
          <w:rFonts w:ascii="Times New Roman" w:hAnsi="Times New Roman" w:cs="Times New Roman"/>
          <w:sz w:val="28"/>
          <w:szCs w:val="28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F07B5" w:rsidRPr="0090280D" w:rsidRDefault="000F07B5" w:rsidP="000F0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 xml:space="preserve">Единый налог не применяется в отношении видов предпринимательской деятельности, указанных в пункте 1 главы II настоящего положения,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</w:t>
      </w:r>
      <w:r w:rsidRPr="0090280D">
        <w:rPr>
          <w:rFonts w:ascii="Times New Roman" w:hAnsi="Times New Roman" w:cs="Times New Roman"/>
          <w:sz w:val="28"/>
          <w:szCs w:val="28"/>
        </w:rPr>
        <w:lastRenderedPageBreak/>
        <w:t>со статьей 83 Налогового кодекса Российской Федерации.</w:t>
      </w:r>
      <w:proofErr w:type="gramEnd"/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80D">
        <w:rPr>
          <w:rFonts w:ascii="Times New Roman" w:hAnsi="Times New Roman" w:cs="Times New Roman"/>
          <w:sz w:val="28"/>
          <w:szCs w:val="28"/>
        </w:rPr>
        <w:t>Единый налог не применяется в отношении видов предпринимательской деятельности, указанных в подпунктах 6 - 9 пункта 1 главы II настоящего положения, в случае если они осуществляются организациями и индивидуальными предпринимателями, перешедшими в соответствии с главой 26.1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произведенную ими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2.2. На уплату единого налога не вправе переходить: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 xml:space="preserve">1) организации и индивидуальные предприниматели, средняя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человек. 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>Положения настоящего подпункта не применяются в отношении организаций потребительской кооперации, осуществляющих свою деятельность в соответствии с Законом Российской Федерации от 19 июня 1992 года N 3085-1 "О потребительской кооперации (потребительских обществах, их союзах) в Российской Федерации", а также в отношении хозяйственных обществ,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  <w:proofErr w:type="gramEnd"/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4"/>
      <w:bookmarkEnd w:id="7"/>
      <w:r w:rsidRPr="0090280D">
        <w:rPr>
          <w:rFonts w:ascii="Times New Roman" w:hAnsi="Times New Roman" w:cs="Times New Roman"/>
          <w:sz w:val="28"/>
          <w:szCs w:val="28"/>
        </w:rPr>
        <w:t xml:space="preserve">2) организации, в которых доля участия других организаций составляет более 25 процентов. 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>Указанное ограничение не распространяется на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Законом Российской Федерации от 19 июня 1992 года N 3085-1 "О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(потребительских обществах, их союзах) в Российской Федерации",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3)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подпунктом 8 пункта 1 главы II настоящего положения,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 xml:space="preserve">4) организации и индивидуальные предприниматели, осуществляющие виды предпринимательской деятельности, указанные в подпунктах 13 и 14 </w:t>
      </w:r>
      <w:r w:rsidRPr="0090280D">
        <w:rPr>
          <w:rFonts w:ascii="Times New Roman" w:hAnsi="Times New Roman" w:cs="Times New Roman"/>
          <w:sz w:val="28"/>
          <w:szCs w:val="28"/>
        </w:rPr>
        <w:lastRenderedPageBreak/>
        <w:t xml:space="preserve">пункта 1 главы II настоящего положения, в части оказания услуг по передаче во временное владение и (или) в пользование автозаправочных станций и </w:t>
      </w:r>
      <w:proofErr w:type="spellStart"/>
      <w:r w:rsidRPr="0090280D">
        <w:rPr>
          <w:rFonts w:ascii="Times New Roman" w:hAnsi="Times New Roman" w:cs="Times New Roman"/>
          <w:sz w:val="28"/>
          <w:szCs w:val="28"/>
        </w:rPr>
        <w:t>автогазозаправочных</w:t>
      </w:r>
      <w:proofErr w:type="spellEnd"/>
      <w:r w:rsidRPr="0090280D">
        <w:rPr>
          <w:rFonts w:ascii="Times New Roman" w:hAnsi="Times New Roman" w:cs="Times New Roman"/>
          <w:sz w:val="28"/>
          <w:szCs w:val="28"/>
        </w:rPr>
        <w:t xml:space="preserve"> станций.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>Если по итогам налогового периода у налогоплательщика средняя численность работников превысила 100 человек и (или) им было допущено нарушение требования, установленного подпунктом 2 пункта 2.2 настоящей главы, он считается утратившим право на применение системы налогообложения, установленной настоящим положением, и перешедшим на общий режим налогообложения с начала налогового периода, в котором были допущены нарушения указанных требований.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При этом суммы налогов, подлежащих уплате при использовании общего режима налогообложения, исчисляются и уплачиваются в порядке,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предпринимателей.</w:t>
      </w:r>
    </w:p>
    <w:p w:rsidR="000F07B5" w:rsidRPr="0090280D" w:rsidRDefault="000F07B5" w:rsidP="000F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07B5" w:rsidRPr="0090280D" w:rsidRDefault="000F07B5" w:rsidP="000F07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III. Значение корректирующего коэффициента</w:t>
      </w:r>
    </w:p>
    <w:p w:rsidR="000F07B5" w:rsidRPr="0090280D" w:rsidRDefault="000F07B5" w:rsidP="000F0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базовой доходности К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0F07B5" w:rsidRPr="0090280D" w:rsidRDefault="000F07B5" w:rsidP="000F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При определении величины базовой доходности базовая доходность, указанная в пункте 3 статьи 346.29 Налогового кодекса Российской Федерации, корректируется (умножается) на коэффициенты К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и К2.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Корректирующий коэффициент базовой доходности К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определяется как произведение значений, учитывающих влияние на результат предпринимательской деятельности, и рассчитывается по следующей формуле:</w:t>
      </w:r>
    </w:p>
    <w:p w:rsidR="000F07B5" w:rsidRPr="0090280D" w:rsidRDefault="000F07B5" w:rsidP="000F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07B5" w:rsidRPr="0090280D" w:rsidRDefault="000F07B5" w:rsidP="000F07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К2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 xml:space="preserve"> = А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x В x С x Д x V x Е, где</w:t>
      </w:r>
    </w:p>
    <w:p w:rsidR="000F07B5" w:rsidRPr="0090280D" w:rsidRDefault="000F07B5" w:rsidP="000F0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А - индекс, учитывающий особенности видов предпринимательской деятельности, установленный в размере: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1) оказание бытовых услуг - 0,95;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2) оказание ветеринарных услуг - 1,0;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3) оказание услуг по ремонту, техническому обслуживанию и мойке автомототранспортных средств - 1,0;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- 0,8;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5) оказание автотранспортных услуг по перевозке грузов - 1,0;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6) оказание автотранспортных услуг по перевозке пассажиров - 1,0;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7) розничная торговля, осуществляемая через объекты стационарной торговой сети, имеющие торговые залы, - 1,0;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 xml:space="preserve"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</w:t>
      </w:r>
      <w:r w:rsidRPr="0090280D">
        <w:rPr>
          <w:rFonts w:ascii="Times New Roman" w:hAnsi="Times New Roman" w:cs="Times New Roman"/>
          <w:sz w:val="28"/>
          <w:szCs w:val="28"/>
        </w:rPr>
        <w:lastRenderedPageBreak/>
        <w:t>превышает 5 квадратных метров, - 0,65;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- 0,75;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10) развозная и разносная розничная торговля - 0,65;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11) реализация товаров с использованием торговых автоматов - 0,5;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12) оказание услуг общественного питания через объект организации общественного питания, имеющий зал обслуживания посетителей, - 0,95;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13) оказание услуг общественного питания через объект организации общественного питания, не имеющий зала обслуживания посетителей, - 0,6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- 0,4;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15) распространение наружной рекламы с использованием рекламных конструкций с автоматической сменой изображения - 0,15;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16) распространение наружной рекламы с использованием электронных табло - 0,15;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17) размещение рекламы с использованием внешних и внутренних поверхностей транспортных средств - 0,15;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18) оказание услуг по временному размещению и проживанию - 1,0;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- 0,55;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- 0,65;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- 0,55;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- 0,65;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В - индекс, учитывающий особенности ведения предпринимательской деятельности в зависимости от типа населенного пункта.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lastRenderedPageBreak/>
        <w:t>Для всех видов деятельности, за исключением всех видов розничной торговли, индекс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установлен в размере 0,6.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Для розничной торговли, осуществляемой через магазины с площадью торгового зала не более 150 кв. метров, палатки, лотки и другие объекты организации торговли, в том числе не имеющие стационарной торговой площади, индекс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установлен в размере 0,6;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С - индекс, учитывающий размер торговой площади, установленный для розничной торговли, осуществляемой через объекты стационарной торговой сети, имеющей торговые залы, и оказание услуг общественного питания через объекты организации общественного питания, имеющие залы обслуживания посетителей в размере: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1) площадь торгового зала до 50 кв. метров - 1,0;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2) площадь торгового зала от 50 до 100 кв. метров - 1,0;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3) площадь торгового зала свыше 100 кв. метров - 0,95;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80D">
        <w:rPr>
          <w:rFonts w:ascii="Times New Roman" w:hAnsi="Times New Roman" w:cs="Times New Roman"/>
          <w:sz w:val="28"/>
          <w:szCs w:val="28"/>
        </w:rPr>
        <w:t>Д - индекс, учитывающий особенности труда инвалидов I и II группы, родителей, на содержание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80D">
        <w:rPr>
          <w:rFonts w:ascii="Times New Roman" w:hAnsi="Times New Roman" w:cs="Times New Roman"/>
          <w:sz w:val="28"/>
          <w:szCs w:val="28"/>
        </w:rPr>
        <w:t>фонде</w:t>
      </w:r>
      <w:proofErr w:type="gramEnd"/>
      <w:r w:rsidRPr="0090280D">
        <w:rPr>
          <w:rFonts w:ascii="Times New Roman" w:hAnsi="Times New Roman" w:cs="Times New Roman"/>
          <w:sz w:val="28"/>
          <w:szCs w:val="28"/>
        </w:rPr>
        <w:t xml:space="preserve"> оплаты труда не менее 25 процентов, устанавливается в размере - 0,5;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V - индекс, учитывающий ассортимент товара при розничной торговле: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80D">
        <w:rPr>
          <w:rFonts w:ascii="Times New Roman" w:hAnsi="Times New Roman" w:cs="Times New Roman"/>
          <w:sz w:val="28"/>
          <w:szCs w:val="28"/>
        </w:rPr>
        <w:t>1) мотоциклы с мощностью двигателя до 112,5 кВт (150 л. с.),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2) текстильные, трикотажные, швейные товары и обувь - 1,0;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- 1,0;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0D">
        <w:rPr>
          <w:rFonts w:ascii="Times New Roman" w:hAnsi="Times New Roman" w:cs="Times New Roman"/>
          <w:sz w:val="28"/>
          <w:szCs w:val="28"/>
        </w:rPr>
        <w:t>4) смешанные товары и все остальные товары - 0,95;</w:t>
      </w:r>
    </w:p>
    <w:p w:rsidR="000F07B5" w:rsidRPr="0090280D" w:rsidRDefault="000F07B5" w:rsidP="000F0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80D">
        <w:rPr>
          <w:rFonts w:ascii="Times New Roman" w:hAnsi="Times New Roman" w:cs="Times New Roman"/>
          <w:sz w:val="28"/>
          <w:szCs w:val="28"/>
        </w:rPr>
        <w:t>5) специализированная торговля товарами детского ассортимента, лекарственными средствами и изделиями фармацевтического и медицинского назначения,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- 0,6.</w:t>
      </w:r>
      <w:proofErr w:type="gramEnd"/>
    </w:p>
    <w:p w:rsidR="0036161C" w:rsidRDefault="000F07B5" w:rsidP="000F07B5">
      <w:pPr>
        <w:pStyle w:val="ConsPlusNormal"/>
        <w:ind w:firstLine="540"/>
        <w:jc w:val="both"/>
      </w:pPr>
      <w:r w:rsidRPr="0090280D">
        <w:rPr>
          <w:rFonts w:ascii="Times New Roman" w:hAnsi="Times New Roman" w:cs="Times New Roman"/>
          <w:sz w:val="28"/>
          <w:szCs w:val="28"/>
        </w:rPr>
        <w:t>Е - индекс, учитывающий режим работы организаторов проведения ярмарок выходного дня - 0,15.</w:t>
      </w:r>
      <w:bookmarkStart w:id="8" w:name="_GoBack"/>
      <w:bookmarkEnd w:id="8"/>
    </w:p>
    <w:sectPr w:rsidR="0036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B5"/>
    <w:rsid w:val="000F07B5"/>
    <w:rsid w:val="0036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0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0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1</cp:revision>
  <dcterms:created xsi:type="dcterms:W3CDTF">2019-07-23T11:56:00Z</dcterms:created>
  <dcterms:modified xsi:type="dcterms:W3CDTF">2019-07-23T11:57:00Z</dcterms:modified>
</cp:coreProperties>
</file>